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4.675324675325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28.4155844155844"/>
        <w:gridCol w:w="555"/>
        <w:gridCol w:w="510"/>
        <w:gridCol w:w="3255"/>
        <w:gridCol w:w="2516.2597402597403"/>
        <w:tblGridChange w:id="0">
          <w:tblGrid>
            <w:gridCol w:w="2528.4155844155844"/>
            <w:gridCol w:w="555"/>
            <w:gridCol w:w="510"/>
            <w:gridCol w:w="3255"/>
            <w:gridCol w:w="2516.2597402597403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plant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Description or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Benefits (health or otherwise)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Picture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Jewelweed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Used as a “mush” if you come into contact with poison oak, sumac or ivy. Will relieve itch and symptoms.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866200" cy="652463"/>
                  <wp:effectExtent b="0" l="0" r="0" t="0"/>
                  <wp:docPr id="1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200" cy="6524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Arrowroot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beechnut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Blackberry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Burdock flower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Buttercup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Cattail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Chicory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Daffodil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Dandelion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Elderberry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Fox glove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Holly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Meadow death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Milkweed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Morning glory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Mulberry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Yarrow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Poison hemlock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Poison oak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Poison ivy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Poke weed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Rose hips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Sassafrass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Stinging nestle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Sugar maple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Sumac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Trumpet vine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Wild garlic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Wild leek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Wild strawberry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Lavender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Lemon Balm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Plantain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Purple Coneflower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Echinacea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Black Walnut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Birch Bark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360" w:top="72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png"/></Relationships>
</file>